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643" w:firstLineChars="200"/>
        <w:jc w:val="both"/>
        <w:rPr>
          <w:rFonts w:hint="eastAsia" w:ascii="宋体" w:hAnsi="宋体" w:eastAsia="宋体" w:cs="Calibri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重庆医科大学</w:t>
      </w:r>
      <w:r>
        <w:rPr>
          <w:rFonts w:hint="eastAsia" w:ascii="宋体" w:hAnsi="宋体" w:eastAsia="宋体" w:cs="Calibri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公共卫生</w:t>
      </w:r>
      <w:r>
        <w:rPr>
          <w:rFonts w:hint="eastAsia" w:ascii="宋体" w:hAnsi="宋体" w:eastAsia="宋体" w:cs="Calibri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Calibri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生殖生物学实验室采购</w:t>
      </w:r>
    </w:p>
    <w:p>
      <w:pPr>
        <w:widowControl/>
        <w:shd w:val="clear" w:color="auto" w:fill="FFFFFF"/>
        <w:spacing w:line="420" w:lineRule="atLeast"/>
        <w:ind w:firstLine="643" w:firstLineChars="200"/>
        <w:jc w:val="center"/>
        <w:rPr>
          <w:rFonts w:ascii="宋体" w:hAnsi="宋体" w:eastAsia="宋体" w:cs="Calibri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实验凳</w:t>
      </w:r>
      <w:r>
        <w:rPr>
          <w:rFonts w:hint="eastAsia" w:ascii="宋体" w:hAnsi="宋体" w:eastAsia="宋体" w:cs="Calibri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项目询价采购公告</w:t>
      </w:r>
    </w:p>
    <w:p>
      <w:pPr>
        <w:widowControl/>
        <w:shd w:val="clear" w:color="auto" w:fill="FFFFFF"/>
        <w:spacing w:line="420" w:lineRule="atLeast"/>
        <w:ind w:firstLine="480" w:firstLineChars="200"/>
        <w:rPr>
          <w:rFonts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20" w:lineRule="atLeast"/>
        <w:ind w:firstLine="480" w:firstLineChars="20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公共卫生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生殖生物学实验室采购实验凳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，现拟以询价方式采购，欢迎各大供应商就以下采购内容进行报价。现将有关事项说明如下：</w:t>
      </w:r>
    </w:p>
    <w:p>
      <w:pPr>
        <w:widowControl/>
        <w:numPr>
          <w:ilvl w:val="0"/>
          <w:numId w:val="1"/>
        </w:numPr>
        <w:shd w:val="clear" w:color="auto" w:fill="FFFFFF"/>
        <w:spacing w:line="420" w:lineRule="atLeast"/>
        <w:ind w:firstLine="480"/>
        <w:rPr>
          <w:rFonts w:hint="eastAsia" w:ascii="宋体" w:hAnsi="宋体" w:eastAsia="宋体" w:cs="Calibri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b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项目基本情况</w:t>
      </w:r>
    </w:p>
    <w:p>
      <w:pPr>
        <w:widowControl/>
        <w:shd w:val="clear" w:color="auto" w:fill="FFFFFF"/>
        <w:spacing w:line="420" w:lineRule="atLeast"/>
        <w:ind w:firstLine="480" w:firstLineChars="200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采购编号：</w:t>
      </w:r>
    </w:p>
    <w:p>
      <w:pPr>
        <w:widowControl/>
        <w:shd w:val="clear" w:color="auto" w:fill="FFFFFF"/>
        <w:spacing w:line="420" w:lineRule="atLeast"/>
        <w:ind w:firstLine="480" w:firstLineChars="200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项目名称：生殖生物学实验室采购实验凳</w:t>
      </w:r>
    </w:p>
    <w:p>
      <w:pPr>
        <w:widowControl/>
        <w:shd w:val="clear" w:color="auto" w:fill="FFFFFF"/>
        <w:spacing w:line="420" w:lineRule="atLeast"/>
        <w:ind w:firstLine="480" w:firstLineChars="200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采购方式：询价</w:t>
      </w:r>
    </w:p>
    <w:p>
      <w:pPr>
        <w:widowControl/>
        <w:shd w:val="clear" w:color="auto" w:fill="FFFFFF"/>
        <w:spacing w:line="420" w:lineRule="atLeast"/>
        <w:ind w:firstLine="480" w:firstLineChars="200"/>
        <w:rPr>
          <w:rFonts w:hint="default" w:ascii="宋体" w:hAnsi="宋体" w:eastAsia="宋体" w:cs="Calibri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最高限价：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15000元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1、项目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内容</w:t>
      </w:r>
    </w:p>
    <w:tbl>
      <w:tblPr>
        <w:tblStyle w:val="5"/>
        <w:tblW w:w="7933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605"/>
        <w:gridCol w:w="1695"/>
        <w:gridCol w:w="31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firstLine="45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 称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firstLine="45"/>
              <w:jc w:val="center"/>
              <w:rPr>
                <w:rFonts w:ascii="Calibri" w:hAnsi="Calibri" w:eastAsia="宋体" w:cs="Calibri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/单位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firstLine="45"/>
              <w:jc w:val="center"/>
              <w:rPr>
                <w:rFonts w:hint="eastAsia" w:ascii="Calibri" w:hAnsi="Calibri" w:eastAsia="宋体" w:cs="Calibri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最高限价（元）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ind w:firstLine="45"/>
              <w:jc w:val="center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firstLine="45"/>
              <w:jc w:val="center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实验凳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firstLine="45"/>
              <w:jc w:val="center"/>
              <w:rPr>
                <w:rFonts w:hint="default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120个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firstLine="45"/>
              <w:jc w:val="center"/>
              <w:rPr>
                <w:rFonts w:hint="default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firstLine="45"/>
              <w:jc w:val="center"/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注：此报价含安装，运输，搬运，人工及税费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spacing w:line="420" w:lineRule="atLeast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质量/参数要求</w:t>
      </w:r>
    </w:p>
    <w:tbl>
      <w:tblPr>
        <w:tblStyle w:val="5"/>
        <w:tblpPr w:leftFromText="180" w:rightFromText="180" w:vertAnchor="text" w:horzAnchor="page" w:tblpX="1390" w:tblpY="401"/>
        <w:tblOverlap w:val="never"/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235"/>
        <w:gridCol w:w="5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图片</w:t>
            </w:r>
          </w:p>
        </w:tc>
        <w:tc>
          <w:tcPr>
            <w:tcW w:w="5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材质要求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40005</wp:posOffset>
                  </wp:positionV>
                  <wp:extent cx="1171575" cy="1476375"/>
                  <wp:effectExtent l="0" t="0" r="9525" b="9525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rcRect l="10995" t="5962" r="17576" b="40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凳面pu发泡材质，直径32cm，厚度3.5cm，升降尺寸45-55cm。不锈钢凳脚直径40cm，厚度1.5mm，带防滑脚垫。具有质量管理体系认证证书、环境管理体系认证证书、中国职业健康安全管理体系认证证书，认证范围必须包含：气杆、胶套、皮料、面料、海绵、脚架（提供全国认证认可信息公共服务平台的网上查询截图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注：此报价含安装，运输，搬运，人工及税费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3、质保要求</w:t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ind w:firstLine="840"/>
        <w:rPr>
          <w:rFonts w:ascii="Calibri" w:hAnsi="Calibri" w:eastAsia="宋体" w:cs="Calibri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质保期1年，自验收合格之日算起。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4、交货时间</w:t>
      </w:r>
    </w:p>
    <w:p>
      <w:pPr>
        <w:widowControl/>
        <w:shd w:val="clear" w:color="auto" w:fill="FFFFFF"/>
        <w:spacing w:line="420" w:lineRule="atLeast"/>
        <w:ind w:left="479" w:firstLine="36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招采公示/合同生效后5个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日内送货到需方指定地点并完成安装调试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延迟交付货物每超过合同约定的交货时间1天，按该货物中标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价格的1‰支付违约金。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售后服务要求</w:t>
      </w:r>
    </w:p>
    <w:p>
      <w:pPr>
        <w:widowControl/>
        <w:shd w:val="clear" w:color="auto" w:fill="FFFFFF"/>
        <w:spacing w:line="420" w:lineRule="atLeast"/>
        <w:ind w:left="479" w:firstLine="36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保修期内，接到客户电话即可响应，即安排专业安装服务团队为您服务，紧急报修承诺8小时内到达现场，一般报修承诺24小时内到达现场服务到位。针对应急情况，在4小时内出解决方案，8小时内到达采购单位现场，上门维护。若问题严重无法短时间解决的，做出书面解释并明确解决时间，24小时内提供备用货物代替，不收取任何费用，产品1年内免费保修。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二、供应商资格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（一）合格供应商的条件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1.具有独立承担民事责任能力的企业法人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2.具有良好的商业信誉和健全的财务会计制度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3.具有履行合同所必须的设备和专业技术能力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4.在参加政府采购活动的前三年内无重大违法经营记录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5.具备法律法规规定的其他条件。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（二）供应商需提供以下资质证明文件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1.法定代表人资格证明文件或其授权书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2.法定代表人或授权代理人身份证复印件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3.被授权人身份证明的复印件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4.年检合格的营业执照复印件和税务登记证复印件（加盖单位公章）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（三）响应文件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1.响应文件提交时间期限（可邮寄）</w:t>
      </w:r>
    </w:p>
    <w:p>
      <w:pPr>
        <w:widowControl/>
        <w:shd w:val="clear" w:color="auto" w:fill="FFFFFF"/>
        <w:spacing w:line="420" w:lineRule="atLeast"/>
        <w:ind w:firstLine="720"/>
        <w:rPr>
          <w:rFonts w:hint="default" w:ascii="Calibri" w:hAnsi="Calibri" w:eastAsia="宋体" w:cs="Calibri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询价响应文件递交截止时间：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202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日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: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00</w:t>
      </w:r>
    </w:p>
    <w:p>
      <w:pPr>
        <w:spacing w:line="360" w:lineRule="auto"/>
        <w:ind w:firstLine="720" w:firstLineChars="300"/>
        <w:rPr>
          <w:rFonts w:hint="eastAsia" w:ascii="宋体" w:hAnsi="宋体" w:eastAsia="宋体" w:cs="Calibri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询价响应文件递交地点：重庆医科大学缙云校区重庆沙坪坝区大学城中路61号兰苑L1-1310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auto"/>
          <w:kern w:val="0"/>
          <w:szCs w:val="21"/>
        </w:rPr>
      </w:pP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2.联系人及电话</w:t>
      </w:r>
    </w:p>
    <w:p>
      <w:pPr>
        <w:widowControl/>
        <w:shd w:val="clear" w:color="auto" w:fill="FFFFFF"/>
        <w:spacing w:line="420" w:lineRule="atLeast"/>
        <w:ind w:firstLine="720"/>
        <w:rPr>
          <w:rFonts w:hint="default" w:ascii="Calibri" w:hAnsi="Calibri" w:eastAsia="宋体" w:cs="Calibri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eastAsia="zh-CN"/>
        </w:rPr>
        <w:t>陈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老师：023-6848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5008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auto"/>
          <w:kern w:val="0"/>
          <w:szCs w:val="21"/>
        </w:rPr>
      </w:pP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3.评审信息</w:t>
      </w:r>
    </w:p>
    <w:p>
      <w:pPr>
        <w:widowControl/>
        <w:shd w:val="clear" w:color="auto" w:fill="FFFFFF"/>
        <w:spacing w:line="420" w:lineRule="atLeast"/>
        <w:ind w:firstLine="720"/>
        <w:rPr>
          <w:rFonts w:hint="default" w:ascii="Calibri" w:hAnsi="Calibri" w:eastAsia="宋体" w:cs="Calibri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询价开始时间：202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日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: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30</w:t>
      </w:r>
    </w:p>
    <w:p>
      <w:pPr>
        <w:spacing w:line="360" w:lineRule="auto"/>
        <w:ind w:left="718" w:leftChars="342" w:firstLine="0" w:firstLineChars="0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询价地点：重庆医科大学缙云校区重庆沙坪坝区大学城中路61号兰苑L1-1310</w:t>
      </w:r>
    </w:p>
    <w:p>
      <w:pPr>
        <w:widowControl/>
        <w:shd w:val="clear" w:color="auto" w:fill="FFFFFF"/>
        <w:spacing w:line="420" w:lineRule="atLeast"/>
        <w:ind w:firstLine="720"/>
        <w:rPr>
          <w:rFonts w:ascii="Calibri" w:hAnsi="Calibri" w:eastAsia="宋体" w:cs="Calibri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三、报价及报价函要求</w:t>
      </w:r>
    </w:p>
    <w:p>
      <w:pPr>
        <w:spacing w:line="360" w:lineRule="auto"/>
        <w:ind w:left="718" w:leftChars="342" w:firstLine="0" w:firstLineChars="0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1.本次询价只允许有一个方案、一个报价，多方案、多报价的将不被接受；（按照项目编号分别投标）</w:t>
      </w:r>
    </w:p>
    <w:p>
      <w:pPr>
        <w:spacing w:line="360" w:lineRule="auto"/>
        <w:ind w:left="718" w:leftChars="342" w:firstLine="0" w:firstLineChars="0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2.投标人的报价为一次性报价，即在询价有效期内价格固定不变，其报价均包括产品货款、技术资料费、安装调试费、运输费、保险费、包装费、装卸费及税费等交付采购人使用前所有可能发生的所有费用；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textAlignment w:val="auto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3.报价时投标人应就以上货物的技术支持与服务做出书面承诺；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textAlignment w:val="auto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4.报价函要经法定代表人或其授权代表签字、盖章；如为授权代表签字，请附法定代表人授权书。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8" w:leftChars="342" w:firstLine="0" w:firstLineChars="0"/>
        <w:textAlignment w:val="auto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5.报价连同相关证明文件复印件一起密封后在报价截止时间前交至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缙云校区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兰苑L1-1301-1室。</w:t>
      </w:r>
    </w:p>
    <w:p>
      <w:pPr>
        <w:widowControl/>
        <w:shd w:val="clear" w:color="auto" w:fill="FFFFFF"/>
        <w:spacing w:line="420" w:lineRule="atLeast"/>
        <w:ind w:firstLine="720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6. 投标人须在 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202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年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日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: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之前，将采购项目编号、采购项目名称、供应商名称、联系人姓名及联系方式、电子邮箱地址等相关信息，发送至邮箱</w:t>
      </w:r>
      <w:r>
        <w:rPr>
          <w:rFonts w:ascii="宋体" w:hAnsi="宋体" w:eastAsia="宋体" w:cs="宋体"/>
          <w:sz w:val="24"/>
          <w:szCs w:val="24"/>
        </w:rPr>
        <w:t>1175902234@qq.com</w:t>
      </w: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。只有在规定时间内发送了报名信息的供应商的响应文件才被接收。</w:t>
      </w:r>
    </w:p>
    <w:p>
      <w:pPr>
        <w:widowControl/>
        <w:shd w:val="clear" w:color="auto" w:fill="FFFFFF"/>
        <w:spacing w:line="420" w:lineRule="atLeast"/>
        <w:ind w:firstLine="480"/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重庆医科大学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公共卫生</w:t>
      </w:r>
      <w:r>
        <w:rPr>
          <w:rFonts w:hint="eastAsia"/>
          <w:sz w:val="44"/>
          <w:szCs w:val="44"/>
        </w:rPr>
        <w:t>学院</w:t>
      </w:r>
      <w:r>
        <w:rPr>
          <w:rFonts w:hint="eastAsia"/>
          <w:sz w:val="44"/>
          <w:szCs w:val="44"/>
          <w:lang w:eastAsia="zh-CN"/>
        </w:rPr>
        <w:t>采购</w:t>
      </w:r>
      <w:r>
        <w:rPr>
          <w:rFonts w:hint="eastAsia"/>
          <w:sz w:val="44"/>
          <w:szCs w:val="44"/>
        </w:rPr>
        <w:t>报价单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9750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77"/>
        <w:gridCol w:w="1173"/>
        <w:gridCol w:w="3330"/>
        <w:gridCol w:w="1170"/>
        <w:gridCol w:w="79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规格型号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单价（元）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7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公司名称（盖鲜章）：</w:t>
      </w:r>
      <w:r>
        <w:rPr>
          <w:sz w:val="28"/>
          <w:szCs w:val="28"/>
        </w:rPr>
        <w:t xml:space="preserve"> </w:t>
      </w:r>
    </w:p>
    <w:p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>
      <w:pP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Calibri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6300"/>
        </w:tabs>
        <w:snapToGrid w:val="0"/>
        <w:spacing w:line="560" w:lineRule="exact"/>
        <w:ind w:firstLine="57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法定代表人授权委托书</w:t>
      </w:r>
    </w:p>
    <w:p>
      <w:pPr>
        <w:tabs>
          <w:tab w:val="left" w:pos="6300"/>
        </w:tabs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询价</w:t>
      </w: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</w:t>
      </w:r>
    </w:p>
    <w:p>
      <w:pPr>
        <w:tabs>
          <w:tab w:val="left" w:pos="6300"/>
        </w:tabs>
        <w:snapToGrid w:val="0"/>
        <w:spacing w:line="560" w:lineRule="exact"/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重庆医科大学公共卫生学院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tabs>
          <w:tab w:val="left" w:pos="6300"/>
        </w:tabs>
        <w:snapToGrid w:val="0"/>
        <w:spacing w:line="560" w:lineRule="exact"/>
        <w:ind w:left="420" w:leftChars="200"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（供应商法定代表人名称）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是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FF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（供应商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名称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的法定代表人，特授权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（被授权人姓名及身份证代码）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代表我单位全权办理上述项目的磋商、签约等具体工作，并签署全部有关文件、协议及合同。</w:t>
      </w:r>
    </w:p>
    <w:p>
      <w:pPr>
        <w:tabs>
          <w:tab w:val="left" w:pos="6300"/>
        </w:tabs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560" w:lineRule="exact"/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被授权人：                              供应商法定代表人：</w:t>
      </w:r>
    </w:p>
    <w:p>
      <w:pPr>
        <w:tabs>
          <w:tab w:val="left" w:pos="6300"/>
        </w:tabs>
        <w:snapToGrid w:val="0"/>
        <w:spacing w:line="560" w:lineRule="exact"/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（签字或盖章）                              （签字或盖章）</w:t>
      </w:r>
    </w:p>
    <w:p>
      <w:pPr>
        <w:tabs>
          <w:tab w:val="left" w:pos="6300"/>
        </w:tabs>
        <w:snapToGrid w:val="0"/>
        <w:spacing w:line="560" w:lineRule="exact"/>
        <w:ind w:firstLine="57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ind w:firstLine="570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6300"/>
        </w:tabs>
        <w:snapToGrid w:val="0"/>
        <w:spacing w:line="560" w:lineRule="exact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560" w:lineRule="exact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</w:t>
      </w:r>
    </w:p>
    <w:p>
      <w:pPr>
        <w:tabs>
          <w:tab w:val="left" w:pos="6300"/>
        </w:tabs>
        <w:snapToGrid w:val="0"/>
        <w:spacing w:line="560" w:lineRule="exact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tabs>
          <w:tab w:val="left" w:pos="6300"/>
        </w:tabs>
        <w:snapToGrid w:val="0"/>
        <w:spacing w:line="560" w:lineRule="exact"/>
        <w:ind w:firstLine="57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（供应商公章）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8ABEAE"/>
    <w:multiLevelType w:val="singleLevel"/>
    <w:tmpl w:val="228ABE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D1575D"/>
    <w:multiLevelType w:val="singleLevel"/>
    <w:tmpl w:val="23D1575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MDEzOTBkY2UxZTdiMzRhMDlmNTE3MDAyZmE2NDIifQ=="/>
  </w:docVars>
  <w:rsids>
    <w:rsidRoot w:val="00A62E32"/>
    <w:rsid w:val="00130768"/>
    <w:rsid w:val="001343AE"/>
    <w:rsid w:val="00170932"/>
    <w:rsid w:val="001B1A5A"/>
    <w:rsid w:val="001B27E2"/>
    <w:rsid w:val="001F2371"/>
    <w:rsid w:val="0028035E"/>
    <w:rsid w:val="004B7C34"/>
    <w:rsid w:val="00570DBF"/>
    <w:rsid w:val="00622D9A"/>
    <w:rsid w:val="006E16EC"/>
    <w:rsid w:val="00791C38"/>
    <w:rsid w:val="0084622F"/>
    <w:rsid w:val="009570FF"/>
    <w:rsid w:val="0097540A"/>
    <w:rsid w:val="009F18B7"/>
    <w:rsid w:val="00A076B2"/>
    <w:rsid w:val="00A62E32"/>
    <w:rsid w:val="00B35EA4"/>
    <w:rsid w:val="00C7165E"/>
    <w:rsid w:val="00C91BBB"/>
    <w:rsid w:val="00CF0FD5"/>
    <w:rsid w:val="00D24017"/>
    <w:rsid w:val="00DB077B"/>
    <w:rsid w:val="00DD4CD5"/>
    <w:rsid w:val="00E3515A"/>
    <w:rsid w:val="00E55001"/>
    <w:rsid w:val="00E774F6"/>
    <w:rsid w:val="00F5424D"/>
    <w:rsid w:val="02E334E5"/>
    <w:rsid w:val="03F84AFB"/>
    <w:rsid w:val="04D56B96"/>
    <w:rsid w:val="227B43CA"/>
    <w:rsid w:val="2BCC5291"/>
    <w:rsid w:val="35C03ABF"/>
    <w:rsid w:val="3EAF1758"/>
    <w:rsid w:val="3F3F374A"/>
    <w:rsid w:val="46D94970"/>
    <w:rsid w:val="499B01EF"/>
    <w:rsid w:val="49CF7879"/>
    <w:rsid w:val="56B80619"/>
    <w:rsid w:val="578E48E2"/>
    <w:rsid w:val="5CB564CD"/>
    <w:rsid w:val="6C361471"/>
    <w:rsid w:val="6DC26C9C"/>
    <w:rsid w:val="6F670133"/>
    <w:rsid w:val="70AE568B"/>
    <w:rsid w:val="76403620"/>
    <w:rsid w:val="772B1AEA"/>
    <w:rsid w:val="790B7D20"/>
    <w:rsid w:val="794B4BF1"/>
    <w:rsid w:val="7EA5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1607</Words>
  <Characters>1731</Characters>
  <Lines>8</Lines>
  <Paragraphs>2</Paragraphs>
  <TotalTime>1</TotalTime>
  <ScaleCrop>false</ScaleCrop>
  <LinksUpToDate>false</LinksUpToDate>
  <CharactersWithSpaces>2042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2022-05-10T03:50:00Z</dcterms:created>
  <dc:creator>HP</dc:creator>
  <cp:lastModifiedBy>海棠依旧</cp:lastModifiedBy>
  <cp:lastPrinted>2021-07-07T02:25:00Z</cp:lastPrinted>
  <dcterms:modified xsi:type="dcterms:W3CDTF">2023-06-14T05:57:53Z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2038E065353548DF9EEA42AD0E8BF9AD_13</vt:lpwstr>
  </property>
</Properties>
</file>