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 w:hint="eastAsia"/>
          <w:sz w:val="36"/>
          <w:szCs w:val="36"/>
          <w:lang w:eastAsia="zh-CN"/>
        </w:rPr>
      </w:pPr>
      <w:r>
        <w:rPr>
          <w:rFonts w:ascii="宋体" w:cs="宋体" w:eastAsia="宋体" w:hAnsi="宋体" w:hint="eastAsia"/>
          <w:sz w:val="36"/>
          <w:szCs w:val="36"/>
          <w:lang w:eastAsia="zh-CN"/>
        </w:rPr>
        <w:t>用阅读润泽生命，让文字定格经典</w:t>
      </w:r>
    </w:p>
    <w:p>
      <w:pPr>
        <w:pStyle w:val="style0"/>
        <w:jc w:val="righ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-公共卫生与管理学院成功举办读书分享会</w:t>
      </w:r>
    </w:p>
    <w:p>
      <w:pPr>
        <w:pStyle w:val="style0"/>
        <w:ind w:firstLine="480" w:firstLineChars="200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hAnsi="宋体" w:hint="eastAsia"/>
          <w:sz w:val="24"/>
          <w:szCs w:val="24"/>
          <w:lang w:val="en-US" w:eastAsia="zh-CN"/>
        </w:rPr>
        <w:t>“书中自有黄金屋，书中自有颜如玉”。为积极营造重庆医科大学公共卫生与管理学院良好的读书氛围，引导学生养成良好的阅读习惯，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重庆医科大学公共卫生与管理学院于2019年12月6日16：00在缙云校区A3-1403举办“用阅读润泽生命，让文字定格经典”——读书分享会。出席此次活动的嘉宾有滕永直老师。</w:t>
      </w:r>
    </w:p>
    <w:p>
      <w:pPr>
        <w:pStyle w:val="style0"/>
        <w:ind w:firstLine="480" w:firstLineChars="200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在一段精彩的视频后，读书分享会正式开始。六位获奖同学依次上台介绍她们阅读的经典。其中，张琬宜同学分享了经典名著《堂吉诃德》</w:t>
      </w:r>
      <w:r>
        <w:rPr>
          <w:rFonts w:ascii="宋体" w:cs="宋体" w:hAnsi="宋体" w:hint="eastAsia"/>
          <w:sz w:val="24"/>
          <w:szCs w:val="24"/>
          <w:lang w:val="en-US" w:eastAsia="zh-CN"/>
        </w:rPr>
        <w:t>，她结合亲身经历从另一个角度解读书籍内容，同时她还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与同学们分享了她的读书小习惯。而黄春燕同学向大家推荐的经典是《老残游记》，她语言简练却精准地向我们解释了清官与“清官”的区别，她慷慨给予自己宝贵的读书经验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帮助同学们理解这部文字稍显晦涩的书籍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。紧接着，侯亚茹同学推荐了余华的《活着》，并给出自己对于此书的理解</w:t>
      </w:r>
      <w:r>
        <w:rPr>
          <w:rFonts w:ascii="宋体" w:cs="宋体" w:hAnsi="宋体" w:hint="eastAsia"/>
          <w:sz w:val="24"/>
          <w:szCs w:val="24"/>
          <w:lang w:val="en-US" w:eastAsia="zh-CN"/>
        </w:rPr>
        <w:t>：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人是为活着本身而活着的，而不是为了活着之外的任何事物所活着。</w:t>
      </w:r>
    </w:p>
    <w:p>
      <w:pPr>
        <w:pStyle w:val="style0"/>
        <w:ind w:firstLine="480" w:firstLineChars="200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最后滕永直老师上台讲话，她认为，读书应该是我们一生的事业，但部分大学生却忽视了这重要的一点。只读有用之书、专业之书，让自己的路越走越窄。她希望学生们至少做到每月阅读一本书籍，让知识充实自己的人生。</w:t>
      </w:r>
    </w:p>
    <w:bookmarkStart w:id="0" w:name="_GoBack"/>
    <w:bookmarkEnd w:id="0"/>
    <w:p>
      <w:pPr>
        <w:pStyle w:val="style0"/>
        <w:ind w:firstLine="480" w:firstLineChars="200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此次活动的成功举办不仅调动了学生阅读积极性，而且有利于引导同学们在书籍中寻找自己的人生理想，坚定自己的前行方向。</w:t>
      </w:r>
    </w:p>
    <w:p>
      <w:pPr>
        <w:pStyle w:val="style0"/>
        <w:ind w:firstLine="480" w:firstLineChars="200"/>
        <w:jc w:val="righ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公共卫生与管理学院</w:t>
      </w:r>
    </w:p>
    <w:p>
      <w:pPr>
        <w:pStyle w:val="style0"/>
        <w:ind w:firstLine="480" w:firstLineChars="200"/>
        <w:jc w:val="right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2019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年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12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月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7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日</w:t>
      </w:r>
    </w:p>
    <w:p>
      <w:pPr>
        <w:pStyle w:val="style0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default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580</Words>
  <Pages>1</Pages>
  <Characters>598</Characters>
  <Application>WPS Office</Application>
  <DocSecurity>0</DocSecurity>
  <Paragraphs>11</Paragraphs>
  <ScaleCrop>false</ScaleCrop>
  <LinksUpToDate>false</LinksUpToDate>
  <CharactersWithSpaces>598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2019-12-06T14:34:00Z</dcterms:created>
  <dc:creator>朋友</dc:creator>
  <lastModifiedBy>EML-AL00</lastModifiedBy>
  <dcterms:modified xsi:type="dcterms:W3CDTF">2019-12-07T04:54:06Z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